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8920" w14:textId="77777777" w:rsidR="00F22303" w:rsidRDefault="00E81C5A">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MERCHANTS OF DEATH </w:t>
      </w:r>
      <w:r>
        <w:rPr>
          <w:noProof/>
        </w:rPr>
        <mc:AlternateContent>
          <mc:Choice Requires="wps">
            <w:drawing>
              <wp:anchor distT="0" distB="0" distL="114300" distR="114300" simplePos="0" relativeHeight="251658240" behindDoc="0" locked="0" layoutInCell="1" hidden="0" allowOverlap="1" wp14:anchorId="47B8E19B" wp14:editId="1AB3D0C7">
                <wp:simplePos x="0" y="0"/>
                <wp:positionH relativeFrom="column">
                  <wp:posOffset>-520699</wp:posOffset>
                </wp:positionH>
                <wp:positionV relativeFrom="paragraph">
                  <wp:posOffset>-774699</wp:posOffset>
                </wp:positionV>
                <wp:extent cx="0" cy="4075303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type w14:anchorId="56CCB320" id="_x0000_t32" coordsize="21600,21600" o:spt="32" o:oned="t" path="m,l21600,21600e" filled="f">
                <v:path arrowok="t" fillok="f" o:connecttype="none"/>
                <o:lock v:ext="edit" shapetype="t"/>
              </v:shapetype>
              <v:shape id="Straight Arrow Connector 4" o:spid="_x0000_s1026" type="#_x0000_t32" style="position:absolute;margin-left:-41pt;margin-top:-61pt;width:0;height:3208.9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nygEAAJADAAAOAAAAZHJzL2Uyb0RvYy54bWysU02P0zAQvSPxHyzfadKFLkvUdA8tywXB&#10;SsAPmLWdxML2WB7TtP+esVtaPg5IiItjz8ebNzMv6/uDd2JvElkMvVwuWilMUKhtGHv55fPDizsp&#10;KEPQ4DCYXh4NyfvN82frOXbmBid02iTBIIG6OfZyyjl2TUNqMh5ogdEEdg6YPGR+prHRCWZG9665&#10;advbZsakY0JliNi6OznlpuIPg1H54zCQycL1krnleqZ6PpWz2ayhGxPEyaozDfgHFh5s4KIXqB1k&#10;EN+S/QPKW5WQcMgLhb7BYbDK1B64m2X7WzefJoim9sLDoXgZE/0/WPVhvw2PiccwR+ooPqbSxWFI&#10;vnyZnzj0cvXy1W3b8viOl5GZQxaKXWxUbH29KgF1nM01PSbK7wx6US69pJzAjlPeYgi8GEzLOjLY&#10;v6fMBDjxR0KpHfDBOlf344KYWVxv2lUpByyTwUHmq4+aYcNYcQid1SWnZFcBma1LYg+8ev11WVbN&#10;JX6JKvV2QNMpqLpOivA2syyd9b28K42dhTIZ0G+DFvkYWcuBFS0LM/JSOMP650slnMG6v8cxGxeY&#10;1HXy5faE+lgXUu289kr7LNGiq5/fNfv6I22+AwAA//8DAFBLAwQUAAYACAAAACEAgDPXiOEAAAAN&#10;AQAADwAAAGRycy9kb3ducmV2LnhtbEyPQUvDQBCF74L/YRnBW7tpxJLEbEqRFgQRtBW9TpJpEszO&#10;huy2jf/eKR709mbm8eZ7+WqyvTrR6DvHBhbzCBRx5eqOGwPv++0sAeUDco29YzLwTR5WxfVVjlnt&#10;zvxGp11olISwz9BAG8KQae2rliz6uRuI5XZwo8Ug49joesSzhNtex1G01BY7lg8tDvTYUvW1O1oD&#10;Tx8v+zLFTTIc0nXzfLeNus/XjTG3N9P6AVSgKfyZ4YIv6FAIU+mOXHvVG5glsXQJIhbxRYnld1Ua&#10;WMbpfQK6yPX/FsUPAAAA//8DAFBLAQItABQABgAIAAAAIQC2gziS/gAAAOEBAAATAAAAAAAAAAAA&#10;AAAAAAAAAABbQ29udGVudF9UeXBlc10ueG1sUEsBAi0AFAAGAAgAAAAhADj9If/WAAAAlAEAAAsA&#10;AAAAAAAAAAAAAAAALwEAAF9yZWxzLy5yZWxzUEsBAi0AFAAGAAgAAAAhAOD382fKAQAAkAMAAA4A&#10;AAAAAAAAAAAAAAAALgIAAGRycy9lMm9Eb2MueG1sUEsBAi0AFAAGAAgAAAAhAIAz14jhAAAADQEA&#10;AA8AAAAAAAAAAAAAAAAAJAQAAGRycy9kb3ducmV2LnhtbFBLBQYAAAAABAAEAPMAAAAyBQAAAAA=&#10;" strokecolor="black [3200]" strokeweight="1.5pt">
                <v:stroke startarrowwidth="narrow" startarrowlength="short" endarrowwidth="narrow" endarrowlength="short" joinstyle="miter"/>
              </v:shape>
            </w:pict>
          </mc:Fallback>
        </mc:AlternateContent>
      </w:r>
    </w:p>
    <w:p w14:paraId="22567FF8" w14:textId="77777777" w:rsidR="00F22303" w:rsidRDefault="00E81C5A">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WAR CRIMES TRIBUNAL</w:t>
      </w:r>
    </w:p>
    <w:p w14:paraId="6B7823EF" w14:textId="77777777" w:rsidR="00F22303" w:rsidRDefault="00E81C5A">
      <w:pPr>
        <w:jc w:val="center"/>
        <w:rPr>
          <w:rFonts w:ascii="Times New Roman" w:eastAsia="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hidden="0" allowOverlap="1" wp14:anchorId="7F5D111F" wp14:editId="3066C042">
                <wp:simplePos x="0" y="0"/>
                <wp:positionH relativeFrom="column">
                  <wp:posOffset>-114299</wp:posOffset>
                </wp:positionH>
                <wp:positionV relativeFrom="paragraph">
                  <wp:posOffset>177800</wp:posOffset>
                </wp:positionV>
                <wp:extent cx="3596787" cy="2668318"/>
                <wp:effectExtent l="0" t="0" r="0" b="0"/>
                <wp:wrapNone/>
                <wp:docPr id="3" name="Rectangle 3"/>
                <wp:cNvGraphicFramePr/>
                <a:graphic xmlns:a="http://schemas.openxmlformats.org/drawingml/2006/main">
                  <a:graphicData uri="http://schemas.microsoft.com/office/word/2010/wordprocessingShape">
                    <wps:wsp>
                      <wps:cNvSpPr/>
                      <wps:spPr>
                        <a:xfrm>
                          <a:off x="3552369" y="2450604"/>
                          <a:ext cx="3587262" cy="2658793"/>
                        </a:xfrm>
                        <a:prstGeom prst="rect">
                          <a:avLst/>
                        </a:prstGeom>
                        <a:solidFill>
                          <a:schemeClr val="lt1"/>
                        </a:solidFill>
                        <a:ln w="9525" cap="flat" cmpd="sng">
                          <a:solidFill>
                            <a:srgbClr val="000000"/>
                          </a:solidFill>
                          <a:prstDash val="solid"/>
                          <a:round/>
                          <a:headEnd type="none" w="sm" len="sm"/>
                          <a:tailEnd type="none" w="sm" len="sm"/>
                        </a:ln>
                      </wps:spPr>
                      <wps:txbx>
                        <w:txbxContent>
                          <w:p w14:paraId="28DB8F24" w14:textId="77777777" w:rsidR="00F22303" w:rsidRDefault="00E81C5A">
                            <w:pPr>
                              <w:spacing w:line="258" w:lineRule="auto"/>
                              <w:textDirection w:val="btLr"/>
                            </w:pPr>
                            <w:r>
                              <w:rPr>
                                <w:b/>
                                <w:color w:val="000000"/>
                                <w:sz w:val="28"/>
                              </w:rPr>
                              <w:t>PEOPLE OF THE WORLD</w:t>
                            </w:r>
                          </w:p>
                          <w:p w14:paraId="0A0F1945" w14:textId="77777777" w:rsidR="00F22303" w:rsidRDefault="00E81C5A">
                            <w:pPr>
                              <w:spacing w:line="258" w:lineRule="auto"/>
                              <w:textDirection w:val="btLr"/>
                            </w:pPr>
                            <w:r>
                              <w:rPr>
                                <w:color w:val="000000"/>
                                <w:sz w:val="28"/>
                              </w:rPr>
                              <w:tab/>
                            </w:r>
                            <w:r>
                              <w:rPr>
                                <w:color w:val="000000"/>
                                <w:sz w:val="28"/>
                              </w:rPr>
                              <w:tab/>
                            </w:r>
                            <w:r>
                              <w:rPr>
                                <w:color w:val="000000"/>
                                <w:sz w:val="28"/>
                              </w:rPr>
                              <w:tab/>
                            </w:r>
                            <w:r>
                              <w:rPr>
                                <w:color w:val="000000"/>
                                <w:sz w:val="28"/>
                              </w:rPr>
                              <w:tab/>
                            </w:r>
                            <w:r>
                              <w:rPr>
                                <w:color w:val="000000"/>
                                <w:sz w:val="28"/>
                              </w:rPr>
                              <w:tab/>
                              <w:t>Plaintiff,</w:t>
                            </w:r>
                          </w:p>
                          <w:p w14:paraId="00492098" w14:textId="77777777" w:rsidR="00F22303" w:rsidRDefault="00F22303">
                            <w:pPr>
                              <w:spacing w:line="258" w:lineRule="auto"/>
                              <w:textDirection w:val="btLr"/>
                            </w:pPr>
                          </w:p>
                          <w:p w14:paraId="5316BA7B" w14:textId="0DA67394" w:rsidR="00F22303" w:rsidRDefault="00E81C5A">
                            <w:pPr>
                              <w:spacing w:line="258" w:lineRule="auto"/>
                              <w:textDirection w:val="btLr"/>
                            </w:pPr>
                            <w:r>
                              <w:rPr>
                                <w:color w:val="000000"/>
                                <w:sz w:val="28"/>
                              </w:rPr>
                              <w:t>vs.</w:t>
                            </w:r>
                          </w:p>
                          <w:p w14:paraId="0D48F27B" w14:textId="77777777" w:rsidR="00963433" w:rsidRPr="00963433" w:rsidRDefault="00963433">
                            <w:pPr>
                              <w:spacing w:line="258" w:lineRule="auto"/>
                              <w:textDirection w:val="btLr"/>
                            </w:pPr>
                          </w:p>
                          <w:p w14:paraId="29FCE286" w14:textId="77777777" w:rsidR="00F22303" w:rsidRDefault="00E81C5A">
                            <w:pPr>
                              <w:spacing w:line="258" w:lineRule="auto"/>
                              <w:textDirection w:val="btLr"/>
                            </w:pPr>
                            <w:r>
                              <w:rPr>
                                <w:b/>
                                <w:color w:val="000000"/>
                                <w:sz w:val="28"/>
                              </w:rPr>
                              <w:t>LOCKHEED-MARTIN; BOEING; RAYTHEON; AND GENERAL ATOMICS</w:t>
                            </w:r>
                          </w:p>
                          <w:p w14:paraId="658AF290" w14:textId="77777777" w:rsidR="00F22303" w:rsidRDefault="00E81C5A">
                            <w:pPr>
                              <w:spacing w:line="258" w:lineRule="auto"/>
                              <w:textDirection w:val="btLr"/>
                            </w:pPr>
                            <w:r>
                              <w:rPr>
                                <w:b/>
                                <w:color w:val="000000"/>
                                <w:sz w:val="28"/>
                              </w:rPr>
                              <w:tab/>
                            </w:r>
                            <w:r>
                              <w:rPr>
                                <w:b/>
                                <w:color w:val="000000"/>
                                <w:sz w:val="28"/>
                              </w:rPr>
                              <w:tab/>
                            </w:r>
                            <w:r>
                              <w:rPr>
                                <w:b/>
                                <w:color w:val="000000"/>
                                <w:sz w:val="28"/>
                              </w:rPr>
                              <w:tab/>
                            </w:r>
                            <w:r>
                              <w:rPr>
                                <w:b/>
                                <w:color w:val="000000"/>
                                <w:sz w:val="28"/>
                              </w:rPr>
                              <w:tab/>
                            </w:r>
                            <w:r>
                              <w:rPr>
                                <w:b/>
                                <w:color w:val="000000"/>
                                <w:sz w:val="28"/>
                              </w:rPr>
                              <w:tab/>
                            </w:r>
                            <w:r>
                              <w:rPr>
                                <w:color w:val="000000"/>
                                <w:sz w:val="28"/>
                              </w:rPr>
                              <w:t>Defendants</w:t>
                            </w:r>
                            <w:r>
                              <w:rPr>
                                <w:b/>
                                <w:color w:val="000000"/>
                                <w:sz w:val="28"/>
                              </w:rPr>
                              <w:t>.</w:t>
                            </w:r>
                          </w:p>
                          <w:p w14:paraId="1E886DE2" w14:textId="77777777" w:rsidR="00F22303" w:rsidRDefault="00F22303">
                            <w:pPr>
                              <w:spacing w:line="258" w:lineRule="auto"/>
                              <w:textDirection w:val="btLr"/>
                            </w:pPr>
                          </w:p>
                          <w:p w14:paraId="72EC3C55" w14:textId="77777777" w:rsidR="00F22303" w:rsidRDefault="00E81C5A">
                            <w:pPr>
                              <w:spacing w:line="258" w:lineRule="auto"/>
                              <w:textDirection w:val="btLr"/>
                            </w:pP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14:paraId="6BD382C9" w14:textId="77777777" w:rsidR="00F22303" w:rsidRDefault="00F2230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F5D111F" id="Rectangle 3" o:spid="_x0000_s1026" style="position:absolute;left:0;text-align:left;margin-left:-9pt;margin-top:14pt;width:283.2pt;height:210.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XJGQIAAD4EAAAOAAAAZHJzL2Uyb0RvYy54bWysU9uO2jAQfa/Uf7D8XhICYQERVtVSqkqr&#10;FmnbDxgch1jyrbYh4e87diiwbaVKVXkwY3w4c2bmzOqxV5KcuPPC6IqORzklXDNTC32o6Lev23dz&#10;SnwAXYM0mlf0zD19XL99s+rskhemNbLmjiCJ9svOVrQNwS6zzLOWK/AjY7nGx8Y4BQGv7pDVDjpk&#10;VzIr8nyWdcbV1hnGvcdfN8MjXSf+puEsfGkazwORFUVtIZ0unft4ZusVLA8ObCvYRQb8gwoFQmPS&#10;K9UGApCjE79RKcGc8aYJI2ZUZppGMJ5qwGrG+S/VvLRgeaoFm+PttU3+/9Gyz6cXu3PYhs76pccw&#10;VtE3TsVv1Ef6ik7KspjMFpScK1pMy3yWT4fG8T4QlgDzh2JWUMIiYlbOHxaTiMhuVNb58JEbRWJQ&#10;UYeTSQ2D07MPA/QnJGb2Rop6K6RMl+gG/iQdOQHOUYbxhfwVSmrSVXRRFiXqAPRSIyFgqGxdUa8P&#10;Kd2rf3h32F9Z8/T5E3HUtQHfDtkTw1C+M0ddJwe1HOoPuibhbNHkGq1OoxivKJEcFwODhAsg5N9x&#10;2DapsXu3kcQo9PseSWK4N/V554i3bCtQ3DP4sAOHxh1jWjQzJvx+BIci5CeNblmMp7ErIV2m5UOO&#10;q+DuX/b3L6BZa3BHsHlD+BTSxsRRaPP+GEwj0shuUi5i0aRp6JeFiltwf0+o29qvfwAAAP//AwBQ&#10;SwMEFAAGAAgAAAAhAObJSrvfAAAACgEAAA8AAABkcnMvZG93bnJldi54bWxMj8FqwzAQRO+F/oPY&#10;Qm+JHOMW43od2kKvhaSBJjfZ2tom1spYciL/fZVTexqWGWbflNtgBnGhyfWWETbrBARxY3XPLcLh&#10;62OVg3BesVaDZUJYyMG2ur8rVaHtlXd02ftWxBJ2hULovB8LKV3TkVFubUfi6P3YySgfz6mVelLX&#10;WG4GmSbJszSq5/ihUyO9d9Sc97NBOH2H/m1JpmPY1WdzWI6fp3aZER8fwusLCE/B/4Xhhh/RoYpM&#10;tZ1ZOzEgrDZ53OIR0pvGwFOWZyBqhCzLU5BVKf9PqH4BAAD//wMAUEsBAi0AFAAGAAgAAAAhALaD&#10;OJL+AAAA4QEAABMAAAAAAAAAAAAAAAAAAAAAAFtDb250ZW50X1R5cGVzXS54bWxQSwECLQAUAAYA&#10;CAAAACEAOP0h/9YAAACUAQAACwAAAAAAAAAAAAAAAAAvAQAAX3JlbHMvLnJlbHNQSwECLQAUAAYA&#10;CAAAACEADhIlyRkCAAA+BAAADgAAAAAAAAAAAAAAAAAuAgAAZHJzL2Uyb0RvYy54bWxQSwECLQAU&#10;AAYACAAAACEA5slKu98AAAAKAQAADwAAAAAAAAAAAAAAAABzBAAAZHJzL2Rvd25yZXYueG1sUEsF&#10;BgAAAAAEAAQA8wAAAH8FAAAAAA==&#10;" fillcolor="white [3201]">
                <v:stroke startarrowwidth="narrow" startarrowlength="short" endarrowwidth="narrow" endarrowlength="short" joinstyle="round"/>
                <v:textbox inset="2.53958mm,1.2694mm,2.53958mm,1.2694mm">
                  <w:txbxContent>
                    <w:p w14:paraId="28DB8F24" w14:textId="77777777" w:rsidR="00F22303" w:rsidRDefault="00E81C5A">
                      <w:pPr>
                        <w:spacing w:line="258" w:lineRule="auto"/>
                        <w:textDirection w:val="btLr"/>
                      </w:pPr>
                      <w:r>
                        <w:rPr>
                          <w:b/>
                          <w:color w:val="000000"/>
                          <w:sz w:val="28"/>
                        </w:rPr>
                        <w:t>PEOPLE OF THE WORLD</w:t>
                      </w:r>
                    </w:p>
                    <w:p w14:paraId="0A0F1945" w14:textId="77777777" w:rsidR="00F22303" w:rsidRDefault="00E81C5A">
                      <w:pPr>
                        <w:spacing w:line="258" w:lineRule="auto"/>
                        <w:textDirection w:val="btLr"/>
                      </w:pPr>
                      <w:r>
                        <w:rPr>
                          <w:color w:val="000000"/>
                          <w:sz w:val="28"/>
                        </w:rPr>
                        <w:tab/>
                      </w:r>
                      <w:r>
                        <w:rPr>
                          <w:color w:val="000000"/>
                          <w:sz w:val="28"/>
                        </w:rPr>
                        <w:tab/>
                      </w:r>
                      <w:r>
                        <w:rPr>
                          <w:color w:val="000000"/>
                          <w:sz w:val="28"/>
                        </w:rPr>
                        <w:tab/>
                      </w:r>
                      <w:r>
                        <w:rPr>
                          <w:color w:val="000000"/>
                          <w:sz w:val="28"/>
                        </w:rPr>
                        <w:tab/>
                      </w:r>
                      <w:r>
                        <w:rPr>
                          <w:color w:val="000000"/>
                          <w:sz w:val="28"/>
                        </w:rPr>
                        <w:tab/>
                        <w:t>Plaintiff,</w:t>
                      </w:r>
                    </w:p>
                    <w:p w14:paraId="00492098" w14:textId="77777777" w:rsidR="00F22303" w:rsidRDefault="00F22303">
                      <w:pPr>
                        <w:spacing w:line="258" w:lineRule="auto"/>
                        <w:textDirection w:val="btLr"/>
                      </w:pPr>
                    </w:p>
                    <w:p w14:paraId="5316BA7B" w14:textId="0DA67394" w:rsidR="00F22303" w:rsidRDefault="00E81C5A">
                      <w:pPr>
                        <w:spacing w:line="258" w:lineRule="auto"/>
                        <w:textDirection w:val="btLr"/>
                      </w:pPr>
                      <w:r>
                        <w:rPr>
                          <w:color w:val="000000"/>
                          <w:sz w:val="28"/>
                        </w:rPr>
                        <w:t>vs.</w:t>
                      </w:r>
                    </w:p>
                    <w:p w14:paraId="0D48F27B" w14:textId="77777777" w:rsidR="00963433" w:rsidRPr="00963433" w:rsidRDefault="00963433">
                      <w:pPr>
                        <w:spacing w:line="258" w:lineRule="auto"/>
                        <w:textDirection w:val="btLr"/>
                      </w:pPr>
                    </w:p>
                    <w:p w14:paraId="29FCE286" w14:textId="77777777" w:rsidR="00F22303" w:rsidRDefault="00E81C5A">
                      <w:pPr>
                        <w:spacing w:line="258" w:lineRule="auto"/>
                        <w:textDirection w:val="btLr"/>
                      </w:pPr>
                      <w:r>
                        <w:rPr>
                          <w:b/>
                          <w:color w:val="000000"/>
                          <w:sz w:val="28"/>
                        </w:rPr>
                        <w:t>LOCKHEED-MARTIN; BOEING; RAYTHEON; AND GENERAL ATOMICS</w:t>
                      </w:r>
                    </w:p>
                    <w:p w14:paraId="658AF290" w14:textId="77777777" w:rsidR="00F22303" w:rsidRDefault="00E81C5A">
                      <w:pPr>
                        <w:spacing w:line="258" w:lineRule="auto"/>
                        <w:textDirection w:val="btLr"/>
                      </w:pPr>
                      <w:r>
                        <w:rPr>
                          <w:b/>
                          <w:color w:val="000000"/>
                          <w:sz w:val="28"/>
                        </w:rPr>
                        <w:tab/>
                      </w:r>
                      <w:r>
                        <w:rPr>
                          <w:b/>
                          <w:color w:val="000000"/>
                          <w:sz w:val="28"/>
                        </w:rPr>
                        <w:tab/>
                      </w:r>
                      <w:r>
                        <w:rPr>
                          <w:b/>
                          <w:color w:val="000000"/>
                          <w:sz w:val="28"/>
                        </w:rPr>
                        <w:tab/>
                      </w:r>
                      <w:r>
                        <w:rPr>
                          <w:b/>
                          <w:color w:val="000000"/>
                          <w:sz w:val="28"/>
                        </w:rPr>
                        <w:tab/>
                      </w:r>
                      <w:r>
                        <w:rPr>
                          <w:b/>
                          <w:color w:val="000000"/>
                          <w:sz w:val="28"/>
                        </w:rPr>
                        <w:tab/>
                      </w:r>
                      <w:r>
                        <w:rPr>
                          <w:color w:val="000000"/>
                          <w:sz w:val="28"/>
                        </w:rPr>
                        <w:t>Defendants</w:t>
                      </w:r>
                      <w:r>
                        <w:rPr>
                          <w:b/>
                          <w:color w:val="000000"/>
                          <w:sz w:val="28"/>
                        </w:rPr>
                        <w:t>.</w:t>
                      </w:r>
                    </w:p>
                    <w:p w14:paraId="1E886DE2" w14:textId="77777777" w:rsidR="00F22303" w:rsidRDefault="00F22303">
                      <w:pPr>
                        <w:spacing w:line="258" w:lineRule="auto"/>
                        <w:textDirection w:val="btLr"/>
                      </w:pPr>
                    </w:p>
                    <w:p w14:paraId="72EC3C55" w14:textId="77777777" w:rsidR="00F22303" w:rsidRDefault="00E81C5A">
                      <w:pPr>
                        <w:spacing w:line="258" w:lineRule="auto"/>
                        <w:textDirection w:val="btLr"/>
                      </w:pP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p>
                    <w:p w14:paraId="6BD382C9" w14:textId="77777777" w:rsidR="00F22303" w:rsidRDefault="00F22303">
                      <w:pPr>
                        <w:spacing w:line="258" w:lineRule="auto"/>
                        <w:textDirection w:val="btLr"/>
                      </w:pPr>
                    </w:p>
                  </w:txbxContent>
                </v:textbox>
              </v:rect>
            </w:pict>
          </mc:Fallback>
        </mc:AlternateContent>
      </w:r>
    </w:p>
    <w:p w14:paraId="7B0775AA" w14:textId="77777777" w:rsidR="00F22303" w:rsidRDefault="00F22303">
      <w:pPr>
        <w:rPr>
          <w:rFonts w:ascii="Times New Roman" w:eastAsia="Times New Roman" w:hAnsi="Times New Roman" w:cs="Times New Roman"/>
          <w:b/>
          <w:sz w:val="28"/>
          <w:szCs w:val="28"/>
        </w:rPr>
      </w:pPr>
    </w:p>
    <w:p w14:paraId="683A060C" w14:textId="77777777" w:rsidR="00F22303" w:rsidRDefault="00F22303">
      <w:pPr>
        <w:rPr>
          <w:rFonts w:ascii="Times New Roman" w:eastAsia="Times New Roman" w:hAnsi="Times New Roman" w:cs="Times New Roman"/>
          <w:b/>
          <w:sz w:val="28"/>
          <w:szCs w:val="28"/>
        </w:rPr>
      </w:pPr>
    </w:p>
    <w:p w14:paraId="1506EDFA" w14:textId="77777777" w:rsidR="00F22303" w:rsidRDefault="00E81C5A">
      <w:pPr>
        <w:tabs>
          <w:tab w:val="left" w:pos="5961"/>
        </w:tabs>
        <w:rPr>
          <w:b/>
          <w:sz w:val="24"/>
          <w:szCs w:val="24"/>
          <w:u w:val="single"/>
        </w:rPr>
      </w:pPr>
      <w:r>
        <w:rPr>
          <w:rFonts w:ascii="Times New Roman" w:eastAsia="Times New Roman" w:hAnsi="Times New Roman" w:cs="Times New Roman"/>
          <w:b/>
          <w:sz w:val="28"/>
          <w:szCs w:val="28"/>
        </w:rPr>
        <w:tab/>
      </w:r>
      <w:r>
        <w:rPr>
          <w:b/>
          <w:sz w:val="24"/>
          <w:szCs w:val="24"/>
          <w:u w:val="single"/>
        </w:rPr>
        <w:t>SUBPOENA DUCES TECUM</w:t>
      </w:r>
    </w:p>
    <w:p w14:paraId="45E44DB6" w14:textId="77777777" w:rsidR="00F22303" w:rsidRDefault="00E81C5A">
      <w:pPr>
        <w:tabs>
          <w:tab w:val="left" w:pos="5961"/>
        </w:tabs>
        <w:spacing w:after="0"/>
        <w:rPr>
          <w:i/>
          <w:sz w:val="24"/>
          <w:szCs w:val="24"/>
        </w:rPr>
      </w:pPr>
      <w:r>
        <w:rPr>
          <w:i/>
          <w:sz w:val="24"/>
          <w:szCs w:val="24"/>
        </w:rPr>
        <w:tab/>
        <w:t>Production of Documents and</w:t>
      </w:r>
    </w:p>
    <w:p w14:paraId="62861A4E" w14:textId="77777777" w:rsidR="00F22303" w:rsidRDefault="00E81C5A">
      <w:pPr>
        <w:tabs>
          <w:tab w:val="left" w:pos="5961"/>
        </w:tabs>
        <w:spacing w:after="0"/>
        <w:rPr>
          <w:b/>
          <w:i/>
          <w:sz w:val="24"/>
          <w:szCs w:val="24"/>
        </w:rPr>
      </w:pPr>
      <w:r>
        <w:rPr>
          <w:i/>
          <w:sz w:val="24"/>
          <w:szCs w:val="24"/>
        </w:rPr>
        <w:tab/>
        <w:t>Information</w:t>
      </w:r>
    </w:p>
    <w:p w14:paraId="4DABFE59" w14:textId="77777777" w:rsidR="00F22303" w:rsidRDefault="00E81C5A">
      <w:pPr>
        <w:tabs>
          <w:tab w:val="left" w:pos="5961"/>
        </w:tabs>
        <w:rPr>
          <w:b/>
          <w:i/>
          <w:sz w:val="24"/>
          <w:szCs w:val="24"/>
        </w:rPr>
      </w:pPr>
      <w:r>
        <w:rPr>
          <w:b/>
          <w:i/>
          <w:sz w:val="24"/>
          <w:szCs w:val="24"/>
        </w:rPr>
        <w:tab/>
      </w:r>
    </w:p>
    <w:p w14:paraId="5A497845" w14:textId="7C20686D" w:rsidR="00F22303" w:rsidRDefault="00E81C5A">
      <w:pPr>
        <w:tabs>
          <w:tab w:val="left" w:pos="5961"/>
        </w:tabs>
        <w:rPr>
          <w:sz w:val="24"/>
          <w:szCs w:val="24"/>
        </w:rPr>
      </w:pPr>
      <w:r>
        <w:rPr>
          <w:b/>
          <w:i/>
          <w:sz w:val="24"/>
          <w:szCs w:val="24"/>
        </w:rPr>
        <w:tab/>
      </w:r>
    </w:p>
    <w:p w14:paraId="4F97C409" w14:textId="33B94488" w:rsidR="00F22303" w:rsidRDefault="00E81C5A">
      <w:pPr>
        <w:tabs>
          <w:tab w:val="left" w:pos="5961"/>
        </w:tabs>
        <w:spacing w:after="0"/>
        <w:rPr>
          <w:b/>
          <w:sz w:val="24"/>
          <w:szCs w:val="24"/>
        </w:rPr>
      </w:pPr>
      <w:r>
        <w:rPr>
          <w:sz w:val="24"/>
          <w:szCs w:val="24"/>
        </w:rPr>
        <w:tab/>
      </w:r>
      <w:r w:rsidR="00534B20" w:rsidRPr="00534B20">
        <w:rPr>
          <w:b/>
          <w:bCs/>
          <w:sz w:val="24"/>
          <w:szCs w:val="24"/>
        </w:rPr>
        <w:t>P</w:t>
      </w:r>
      <w:r>
        <w:rPr>
          <w:b/>
          <w:sz w:val="24"/>
          <w:szCs w:val="24"/>
        </w:rPr>
        <w:t>hysically</w:t>
      </w:r>
    </w:p>
    <w:p w14:paraId="0C48665D" w14:textId="793389CC" w:rsidR="00F22303" w:rsidRDefault="00E81C5A">
      <w:pPr>
        <w:tabs>
          <w:tab w:val="left" w:pos="5961"/>
        </w:tabs>
        <w:spacing w:after="120" w:line="240" w:lineRule="auto"/>
        <w:rPr>
          <w:b/>
          <w:sz w:val="24"/>
          <w:szCs w:val="24"/>
        </w:rPr>
      </w:pPr>
      <w:r>
        <w:rPr>
          <w:b/>
          <w:sz w:val="24"/>
          <w:szCs w:val="24"/>
        </w:rPr>
        <w:tab/>
        <w:t xml:space="preserve">Served by:  </w:t>
      </w:r>
    </w:p>
    <w:p w14:paraId="508BB023" w14:textId="7F3396F7" w:rsidR="00F22303" w:rsidRPr="0061280B" w:rsidRDefault="00E81C5A">
      <w:pPr>
        <w:tabs>
          <w:tab w:val="left" w:pos="5961"/>
        </w:tabs>
        <w:spacing w:after="120" w:line="240" w:lineRule="auto"/>
        <w:rPr>
          <w:bCs/>
          <w:i/>
          <w:iCs/>
          <w:sz w:val="24"/>
          <w:szCs w:val="24"/>
          <w:u w:val="single"/>
        </w:rPr>
      </w:pPr>
      <w:r>
        <w:rPr>
          <w:b/>
          <w:sz w:val="24"/>
          <w:szCs w:val="24"/>
        </w:rPr>
        <w:tab/>
      </w:r>
      <w:r w:rsidR="00601BCC" w:rsidRPr="0061280B">
        <w:rPr>
          <w:bCs/>
          <w:i/>
          <w:iCs/>
          <w:sz w:val="24"/>
          <w:szCs w:val="24"/>
          <w:u w:val="single"/>
        </w:rPr>
        <w:t>Mer</w:t>
      </w:r>
      <w:r w:rsidR="0061280B" w:rsidRPr="0061280B">
        <w:rPr>
          <w:bCs/>
          <w:i/>
          <w:iCs/>
          <w:sz w:val="24"/>
          <w:szCs w:val="24"/>
          <w:u w:val="single"/>
        </w:rPr>
        <w:t>chants of Death Tribunal</w:t>
      </w:r>
    </w:p>
    <w:p w14:paraId="19F10AF4" w14:textId="77777777" w:rsidR="00F22303" w:rsidRDefault="00E81C5A">
      <w:pPr>
        <w:tabs>
          <w:tab w:val="left" w:pos="5961"/>
        </w:tabs>
        <w:spacing w:after="120" w:line="240" w:lineRule="auto"/>
        <w:rPr>
          <w:rFonts w:ascii="Times New Roman" w:eastAsia="Times New Roman" w:hAnsi="Times New Roman" w:cs="Times New Roman"/>
          <w:b/>
          <w:sz w:val="32"/>
          <w:szCs w:val="32"/>
        </w:rPr>
      </w:pPr>
      <w:r>
        <w:rPr>
          <w:sz w:val="24"/>
          <w:szCs w:val="24"/>
        </w:rPr>
        <w:tab/>
      </w:r>
    </w:p>
    <w:p w14:paraId="4F3DFD1E" w14:textId="10CB083E" w:rsidR="00F22303" w:rsidRDefault="00E81C5A">
      <w:pPr>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MERCHANTS OF DEATH WAR CRIMES TRIBUNAL:</w:t>
      </w:r>
    </w:p>
    <w:p w14:paraId="4F158579" w14:textId="7F064716" w:rsidR="00F22303" w:rsidRDefault="00F22303">
      <w:pPr>
        <w:spacing w:after="240"/>
        <w:jc w:val="center"/>
        <w:rPr>
          <w:rFonts w:ascii="Times New Roman" w:eastAsia="Times New Roman" w:hAnsi="Times New Roman" w:cs="Times New Roman"/>
          <w:sz w:val="28"/>
          <w:szCs w:val="28"/>
          <w:highlight w:val="yellow"/>
        </w:rPr>
      </w:pPr>
    </w:p>
    <w:p w14:paraId="07AE430F" w14:textId="77777777" w:rsidR="00F22303" w:rsidRDefault="00E81C5A">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YOU ARE COMMANDED</w:t>
      </w:r>
      <w:r>
        <w:rPr>
          <w:rFonts w:ascii="Times New Roman" w:eastAsia="Times New Roman" w:hAnsi="Times New Roman" w:cs="Times New Roman"/>
          <w:sz w:val="28"/>
          <w:szCs w:val="28"/>
        </w:rPr>
        <w:t xml:space="preserve"> to produce and permit inspection and copying of the following documents, reports, records, or tangible things listed therein that are in your possession, custody, or control, at the time, date, and method set forth below:</w:t>
      </w:r>
    </w:p>
    <w:p w14:paraId="434F5098" w14:textId="77777777" w:rsidR="00F22303" w:rsidRDefault="00E81C5A">
      <w:pPr>
        <w:numPr>
          <w:ilvl w:val="0"/>
          <w:numId w:val="1"/>
        </w:numPr>
        <w:pBdr>
          <w:top w:val="nil"/>
          <w:left w:val="nil"/>
          <w:bottom w:val="nil"/>
          <w:right w:val="nil"/>
          <w:between w:val="nil"/>
        </w:pBdr>
        <w:shd w:val="clear" w:color="auto" w:fill="FFFFFF"/>
        <w:spacing w:before="384"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Documents indicating all profits generated from sales of specific military weapons and supplies, year by year, produced by Defendant since September 11, </w:t>
      </w:r>
      <w:proofErr w:type="gramStart"/>
      <w:r>
        <w:rPr>
          <w:rFonts w:ascii="Times New Roman" w:eastAsia="Times New Roman" w:hAnsi="Times New Roman" w:cs="Times New Roman"/>
          <w:sz w:val="28"/>
          <w:szCs w:val="28"/>
        </w:rPr>
        <w:t>2001;</w:t>
      </w:r>
      <w:proofErr w:type="gramEnd"/>
    </w:p>
    <w:p w14:paraId="54D3AF42"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57F76139" w14:textId="77777777"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Documents demonstrating the number of lobbyists retained by Defendant, year by year, since September 11, 2001, and the cost, for the purpose of influencing members of Congress with respect to their decisions on weapons and military supplies sales and regulation and foreign and military </w:t>
      </w:r>
      <w:proofErr w:type="gramStart"/>
      <w:r>
        <w:rPr>
          <w:rFonts w:ascii="Times New Roman" w:eastAsia="Times New Roman" w:hAnsi="Times New Roman" w:cs="Times New Roman"/>
          <w:sz w:val="28"/>
          <w:szCs w:val="28"/>
        </w:rPr>
        <w:t>policies;</w:t>
      </w:r>
      <w:proofErr w:type="gramEnd"/>
    </w:p>
    <w:p w14:paraId="4859B746"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34D8E407" w14:textId="77777777"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Documents disclosing the number of active and former U.S. military personnel hired by Defendant, year by year, since September 11, 2001;</w:t>
      </w:r>
    </w:p>
    <w:p w14:paraId="7FB0B416"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38F99E23" w14:textId="77777777"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All internal documents disclosing the number of people killed or wounded by weapons Defendant produced since September 11, 2001;</w:t>
      </w:r>
    </w:p>
    <w:p w14:paraId="5B347F27"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07FEDE3A" w14:textId="77777777"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Documents disclosing the specific weapons and supplies sold, quantity sold and the dollar value of each sale, since September 11, 2001, to the United States government, private entities and foreign governments; </w:t>
      </w:r>
    </w:p>
    <w:p w14:paraId="57A00F7D"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327F25FF" w14:textId="77777777"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Documents showing how much money the corporation has spent on advertising, year by year, since September 11, 2001, indicating the amounts that have been spent for ads in various forms of media and with which specific media firms;</w:t>
      </w:r>
    </w:p>
    <w:p w14:paraId="52E17D94"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2F9B7DB8" w14:textId="77777777"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Documents showing how much the corporation has spent each year since September 11, 2001, in supporting sporting competitions and prizes, community organizations such as the United Way and contributions to educational institutions, with a listing of recipients in all </w:t>
      </w:r>
      <w:proofErr w:type="gramStart"/>
      <w:r>
        <w:rPr>
          <w:rFonts w:ascii="Times New Roman" w:eastAsia="Times New Roman" w:hAnsi="Times New Roman" w:cs="Times New Roman"/>
          <w:sz w:val="28"/>
          <w:szCs w:val="28"/>
        </w:rPr>
        <w:t>categories;</w:t>
      </w:r>
      <w:proofErr w:type="gramEnd"/>
    </w:p>
    <w:p w14:paraId="7B32C558"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65C9C870" w14:textId="77777777"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Documents showing, year by year, since September 11, 2001, the contracts between the corporation and specific educational institutions, and their amounts, for research and other </w:t>
      </w:r>
      <w:proofErr w:type="gramStart"/>
      <w:r>
        <w:rPr>
          <w:rFonts w:ascii="Times New Roman" w:eastAsia="Times New Roman" w:hAnsi="Times New Roman" w:cs="Times New Roman"/>
          <w:sz w:val="28"/>
          <w:szCs w:val="28"/>
        </w:rPr>
        <w:t>services;</w:t>
      </w:r>
      <w:proofErr w:type="gramEnd"/>
      <w:r>
        <w:rPr>
          <w:rFonts w:ascii="Times New Roman" w:eastAsia="Times New Roman" w:hAnsi="Times New Roman" w:cs="Times New Roman"/>
          <w:sz w:val="28"/>
          <w:szCs w:val="28"/>
        </w:rPr>
        <w:t xml:space="preserve"> </w:t>
      </w:r>
    </w:p>
    <w:p w14:paraId="091B5A1E"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795CD3D0" w14:textId="77777777"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Documents since September 11, 2001, including email, and other electronic communication, in which officials of the corporation or their representatives conveyed to elected officials expressing opinions about what course the U.S. government should take with respect to foreign policy and particularly with respect to decisions involving U.S. military </w:t>
      </w:r>
      <w:proofErr w:type="gramStart"/>
      <w:r>
        <w:rPr>
          <w:rFonts w:ascii="Times New Roman" w:eastAsia="Times New Roman" w:hAnsi="Times New Roman" w:cs="Times New Roman"/>
          <w:sz w:val="28"/>
          <w:szCs w:val="28"/>
        </w:rPr>
        <w:t>action;</w:t>
      </w:r>
      <w:proofErr w:type="gramEnd"/>
    </w:p>
    <w:p w14:paraId="7936C520" w14:textId="77777777" w:rsidR="00F22303" w:rsidRDefault="00F22303">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p>
    <w:p w14:paraId="4535527D" w14:textId="77777777"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Documents since September 11, 2001, detailing, year by year, the amounts of money spent by the corporation in support of specific public policy research and analysis organizations (“think tanks”);</w:t>
      </w:r>
    </w:p>
    <w:p w14:paraId="29AA549C"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067CBE4A" w14:textId="77777777"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Documents since September 11, 2001, detailing compensation of all corporate officers and board members, including stocks, and other benefits, which have been provided in the face of historic public concern over war profiteering as evidenced by the U.S. Senate’s Nye Commission, after World War I, the U.S. Senate’s Truman Committee, formed prior to the start of World War II and extending until 1948, and continued public revulsion, so evidenced in artistic expression of war and profiting from the blood-letting of war;</w:t>
      </w:r>
    </w:p>
    <w:p w14:paraId="7A9CD9A5"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6E569B0E" w14:textId="17FE426F"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Documents since September 11, </w:t>
      </w:r>
      <w:r w:rsidR="0061280B">
        <w:rPr>
          <w:rFonts w:ascii="Times New Roman" w:eastAsia="Times New Roman" w:hAnsi="Times New Roman" w:cs="Times New Roman"/>
          <w:sz w:val="28"/>
          <w:szCs w:val="28"/>
        </w:rPr>
        <w:t>2001,</w:t>
      </w:r>
      <w:r>
        <w:rPr>
          <w:rFonts w:ascii="Times New Roman" w:eastAsia="Times New Roman" w:hAnsi="Times New Roman" w:cs="Times New Roman"/>
          <w:sz w:val="28"/>
          <w:szCs w:val="28"/>
        </w:rPr>
        <w:t xml:space="preserve"> explaining how in good conscience the corporation leadership continues to make and sell weapons domestically and internationally in the face of ample documentation of the massive human death and suffering caused by these weapon and the evidence that these weapons, used individually and in concert with other weapons, are dramatically contributing to the accelerating destruction of historic global weather conditions and patterns that threaten all life on earth;</w:t>
      </w:r>
    </w:p>
    <w:p w14:paraId="0B875BB4"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62D5C65B" w14:textId="6D160AD4"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Documents since September 11, </w:t>
      </w:r>
      <w:r w:rsidR="0061280B">
        <w:rPr>
          <w:rFonts w:ascii="Times New Roman" w:eastAsia="Times New Roman" w:hAnsi="Times New Roman" w:cs="Times New Roman"/>
          <w:sz w:val="28"/>
          <w:szCs w:val="28"/>
        </w:rPr>
        <w:t>2001,</w:t>
      </w:r>
      <w:r>
        <w:rPr>
          <w:rFonts w:ascii="Times New Roman" w:eastAsia="Times New Roman" w:hAnsi="Times New Roman" w:cs="Times New Roman"/>
          <w:sz w:val="28"/>
          <w:szCs w:val="28"/>
        </w:rPr>
        <w:t xml:space="preserve"> explaining how the corporation leadership can, in good conscience, participate in the construction of nuclear weapons, given the certain knowledge that the use </w:t>
      </w:r>
      <w:r w:rsidR="0061280B">
        <w:rPr>
          <w:rFonts w:ascii="Times New Roman" w:eastAsia="Times New Roman" w:hAnsi="Times New Roman" w:cs="Times New Roman"/>
          <w:sz w:val="28"/>
          <w:szCs w:val="28"/>
        </w:rPr>
        <w:t>of these</w:t>
      </w:r>
      <w:r>
        <w:rPr>
          <w:rFonts w:ascii="Times New Roman" w:eastAsia="Times New Roman" w:hAnsi="Times New Roman" w:cs="Times New Roman"/>
          <w:sz w:val="28"/>
          <w:szCs w:val="28"/>
        </w:rPr>
        <w:t xml:space="preserve"> weapons will lead not only to gross human death and suffering but the near certainty that their use will lead to the extinction of the human race</w:t>
      </w:r>
      <w:r>
        <w:rPr>
          <w:rFonts w:ascii="Times New Roman" w:eastAsia="Times New Roman" w:hAnsi="Times New Roman" w:cs="Times New Roman"/>
          <w:sz w:val="24"/>
          <w:szCs w:val="24"/>
        </w:rPr>
        <w:t>;</w:t>
      </w:r>
    </w:p>
    <w:p w14:paraId="3E277337"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14"/>
          <w:szCs w:val="14"/>
        </w:rPr>
      </w:pPr>
    </w:p>
    <w:p w14:paraId="0A7BDCE0" w14:textId="335724A9"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Documents showing any and all visits since September 11, </w:t>
      </w:r>
      <w:r w:rsidR="0061280B">
        <w:rPr>
          <w:rFonts w:ascii="Times New Roman" w:eastAsia="Times New Roman" w:hAnsi="Times New Roman" w:cs="Times New Roman"/>
          <w:sz w:val="28"/>
          <w:szCs w:val="28"/>
        </w:rPr>
        <w:t>2001,</w:t>
      </w:r>
      <w:r>
        <w:rPr>
          <w:rFonts w:ascii="Times New Roman" w:eastAsia="Times New Roman" w:hAnsi="Times New Roman" w:cs="Times New Roman"/>
          <w:sz w:val="28"/>
          <w:szCs w:val="28"/>
        </w:rPr>
        <w:t xml:space="preserve"> between corporate officials and agents, and officials and agents of foreign governments, the purposes of these visits, and any payments or other support of any kind made by the corporation to these individuals.  Of particular interest are any communications relating to foreign policies and military policies of the United States and the foreign governments;</w:t>
      </w:r>
    </w:p>
    <w:p w14:paraId="4CD53353"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2A1EC89A" w14:textId="3F2DE583"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Documents since September 11, </w:t>
      </w:r>
      <w:r w:rsidR="0061280B">
        <w:rPr>
          <w:rFonts w:ascii="Times New Roman" w:eastAsia="Times New Roman" w:hAnsi="Times New Roman" w:cs="Times New Roman"/>
          <w:sz w:val="28"/>
          <w:szCs w:val="28"/>
        </w:rPr>
        <w:t>2001,</w:t>
      </w:r>
      <w:r>
        <w:rPr>
          <w:rFonts w:ascii="Times New Roman" w:eastAsia="Times New Roman" w:hAnsi="Times New Roman" w:cs="Times New Roman"/>
          <w:sz w:val="28"/>
          <w:szCs w:val="28"/>
        </w:rPr>
        <w:t xml:space="preserve"> between the corporation and U.S. elected officials, executive branch officials and foreign officials with respect to the regulation of arms exports and particularly with respect to the export of arms shipments in war </w:t>
      </w:r>
      <w:proofErr w:type="gramStart"/>
      <w:r>
        <w:rPr>
          <w:rFonts w:ascii="Times New Roman" w:eastAsia="Times New Roman" w:hAnsi="Times New Roman" w:cs="Times New Roman"/>
          <w:sz w:val="28"/>
          <w:szCs w:val="28"/>
        </w:rPr>
        <w:t>zones;</w:t>
      </w:r>
      <w:proofErr w:type="gramEnd"/>
    </w:p>
    <w:p w14:paraId="7A02806D"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4D05D68C" w14:textId="1E4620A8"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Documents since September 11, 2001, showing both the recipient’s name and the amount provided by the named corporation, to political </w:t>
      </w:r>
      <w:r w:rsidR="0061280B">
        <w:rPr>
          <w:rFonts w:ascii="Times New Roman" w:eastAsia="Times New Roman" w:hAnsi="Times New Roman" w:cs="Times New Roman"/>
          <w:sz w:val="28"/>
          <w:szCs w:val="28"/>
        </w:rPr>
        <w:t>campaigns, including</w:t>
      </w:r>
      <w:r>
        <w:rPr>
          <w:rFonts w:ascii="Times New Roman" w:eastAsia="Times New Roman" w:hAnsi="Times New Roman" w:cs="Times New Roman"/>
          <w:sz w:val="28"/>
          <w:szCs w:val="28"/>
        </w:rPr>
        <w:t>, but not limited to, contributions by any of its officers or employees to political candidates, elected officials and or non-profit organizations, or any other type of entity or individual, intending to influence U.S. elections (“Dark Money”).</w:t>
      </w:r>
    </w:p>
    <w:p w14:paraId="7404A9EC"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71F7C69B" w14:textId="77777777"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Documentation of any payments or other support provided to journalists, editors, or media outlets since September 11, 2001;</w:t>
      </w:r>
    </w:p>
    <w:p w14:paraId="498B1C86"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78D21007" w14:textId="081596D3"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Documents of all corporate lobbying visits, and money spent, since September 11, </w:t>
      </w:r>
      <w:r w:rsidR="0061280B">
        <w:rPr>
          <w:rFonts w:ascii="Times New Roman" w:eastAsia="Times New Roman" w:hAnsi="Times New Roman" w:cs="Times New Roman"/>
          <w:sz w:val="28"/>
          <w:szCs w:val="28"/>
        </w:rPr>
        <w:t>2001,</w:t>
      </w:r>
      <w:r>
        <w:rPr>
          <w:rFonts w:ascii="Times New Roman" w:eastAsia="Times New Roman" w:hAnsi="Times New Roman" w:cs="Times New Roman"/>
          <w:sz w:val="28"/>
          <w:szCs w:val="28"/>
        </w:rPr>
        <w:t xml:space="preserve"> in connection with arms control initiatives, particularly with respect to the Treaty on the Prohibition of Nuclear Weapons;</w:t>
      </w:r>
    </w:p>
    <w:p w14:paraId="2DBDC418"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6418A7C1" w14:textId="53522467"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Documents since September 11, </w:t>
      </w:r>
      <w:r w:rsidR="0061280B">
        <w:rPr>
          <w:rFonts w:ascii="Times New Roman" w:eastAsia="Times New Roman" w:hAnsi="Times New Roman" w:cs="Times New Roman"/>
          <w:sz w:val="28"/>
          <w:szCs w:val="28"/>
        </w:rPr>
        <w:t>2001,</w:t>
      </w:r>
      <w:r>
        <w:rPr>
          <w:rFonts w:ascii="Times New Roman" w:eastAsia="Times New Roman" w:hAnsi="Times New Roman" w:cs="Times New Roman"/>
          <w:sz w:val="28"/>
          <w:szCs w:val="28"/>
        </w:rPr>
        <w:t xml:space="preserve"> listing all corporation contracts with public and private educational institutions and public and private research organizations, showing the purpose of the contract and its amount;</w:t>
      </w:r>
    </w:p>
    <w:p w14:paraId="20E88B8E"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143E8468" w14:textId="77777777"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Documents listing, for each year since September 11, 2001, each corporate contract concluded with the U.S. federal government; state and local governments; foreign governments; and non-governmental entities, listing the amount of the contract, its purpose and the percent of corporate profit from each contract;</w:t>
      </w:r>
    </w:p>
    <w:p w14:paraId="3D6A37A3"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2EE54859" w14:textId="01DE1826" w:rsidR="00F22303" w:rsidRDefault="00E81C5A">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Documents since September 11, </w:t>
      </w:r>
      <w:r w:rsidR="0061280B">
        <w:rPr>
          <w:rFonts w:ascii="Times New Roman" w:eastAsia="Times New Roman" w:hAnsi="Times New Roman" w:cs="Times New Roman"/>
          <w:sz w:val="28"/>
          <w:szCs w:val="28"/>
        </w:rPr>
        <w:t>2001,</w:t>
      </w:r>
      <w:r>
        <w:rPr>
          <w:rFonts w:ascii="Times New Roman" w:eastAsia="Times New Roman" w:hAnsi="Times New Roman" w:cs="Times New Roman"/>
          <w:sz w:val="28"/>
          <w:szCs w:val="28"/>
        </w:rPr>
        <w:t xml:space="preserve"> listing the top 10 weapons produced by the corporation in these categories: units sold, income to the corporation and </w:t>
      </w:r>
      <w:proofErr w:type="gramStart"/>
      <w:r>
        <w:rPr>
          <w:rFonts w:ascii="Times New Roman" w:eastAsia="Times New Roman" w:hAnsi="Times New Roman" w:cs="Times New Roman"/>
          <w:sz w:val="28"/>
          <w:szCs w:val="28"/>
        </w:rPr>
        <w:t>profit;</w:t>
      </w:r>
      <w:proofErr w:type="gramEnd"/>
    </w:p>
    <w:p w14:paraId="2D1559E5" w14:textId="77777777" w:rsidR="00F22303" w:rsidRDefault="00F22303">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sz w:val="28"/>
          <w:szCs w:val="28"/>
        </w:rPr>
      </w:pPr>
    </w:p>
    <w:p w14:paraId="27267EAF" w14:textId="2BBA53CB" w:rsidR="00F22303" w:rsidRDefault="00E81C5A">
      <w:pPr>
        <w:numPr>
          <w:ilvl w:val="0"/>
          <w:numId w:val="1"/>
        </w:numPr>
        <w:pBdr>
          <w:top w:val="nil"/>
          <w:left w:val="nil"/>
          <w:bottom w:val="nil"/>
          <w:right w:val="nil"/>
          <w:between w:val="nil"/>
        </w:pBdr>
        <w:shd w:val="clear" w:color="auto" w:fill="FFFFFF"/>
        <w:spacing w:after="384"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Documents since September 11, </w:t>
      </w:r>
      <w:r w:rsidR="0061280B">
        <w:rPr>
          <w:rFonts w:ascii="Times New Roman" w:eastAsia="Times New Roman" w:hAnsi="Times New Roman" w:cs="Times New Roman"/>
          <w:sz w:val="28"/>
          <w:szCs w:val="28"/>
        </w:rPr>
        <w:t>2001,</w:t>
      </w:r>
      <w:r>
        <w:rPr>
          <w:rFonts w:ascii="Times New Roman" w:eastAsia="Times New Roman" w:hAnsi="Times New Roman" w:cs="Times New Roman"/>
          <w:sz w:val="28"/>
          <w:szCs w:val="28"/>
        </w:rPr>
        <w:t xml:space="preserve"> listing all current geographical locations of corporate facilities, what is produced at each facility, the numbers of people employed at each, and any subsidies, cash payments, tax relief and relaxation of environmental regulation enforcement that the corporation may have received from state, county, or local governments.</w:t>
      </w:r>
    </w:p>
    <w:p w14:paraId="0AD6C6E9" w14:textId="6871B4B7" w:rsidR="00F22303" w:rsidRDefault="00E81C5A">
      <w:pPr>
        <w:numPr>
          <w:ilvl w:val="0"/>
          <w:numId w:val="1"/>
        </w:numPr>
        <w:pBdr>
          <w:top w:val="nil"/>
          <w:left w:val="nil"/>
          <w:bottom w:val="nil"/>
          <w:right w:val="nil"/>
          <w:between w:val="nil"/>
        </w:pBdr>
        <w:shd w:val="clear" w:color="auto" w:fill="FFFFFF"/>
        <w:spacing w:after="384"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U.S. wars are fought to gain profitable access to fossil fuels for fossil fuel corporations</w:t>
      </w:r>
      <w:r w:rsidR="0063022F">
        <w:rPr>
          <w:rFonts w:ascii="Times New Roman" w:eastAsia="Times New Roman" w:hAnsi="Times New Roman" w:cs="Times New Roman"/>
          <w:sz w:val="28"/>
          <w:szCs w:val="28"/>
        </w:rPr>
        <w:t xml:space="preserve">. Accordingly. </w:t>
      </w:r>
      <w:r>
        <w:rPr>
          <w:rFonts w:ascii="Times New Roman" w:eastAsia="Times New Roman" w:hAnsi="Times New Roman" w:cs="Times New Roman"/>
          <w:sz w:val="28"/>
          <w:szCs w:val="28"/>
        </w:rPr>
        <w:t>provide all documents since the year 2000 evidencing a connection between the defendant and fossil fuel corporations and institutions invested in fossil fuel corporations, including but not limited to: information on defendant corporate officers and board members who have worked for or now sit on boards of fossil fuel corporations and firms invested in fossil fuels; and/or, who may provide advice on energy policy to government and private entities.  In addition, provide all communications between corporate officers and board members and entities of the U.S. government with respect to U.S. military and diplomatic efforts that might benefit fossil fuel corporations and fossil fuel investors.</w:t>
      </w:r>
    </w:p>
    <w:p w14:paraId="6C99891F" w14:textId="77777777" w:rsidR="00F22303" w:rsidRDefault="00E81C5A" w:rsidP="00D25D8C">
      <w:pPr>
        <w:ind w:left="360"/>
        <w:rPr>
          <w:rFonts w:ascii="Times New Roman" w:eastAsia="Times New Roman" w:hAnsi="Times New Roman" w:cs="Times New Roman"/>
          <w:sz w:val="28"/>
          <w:szCs w:val="28"/>
        </w:rPr>
      </w:pPr>
      <w:r>
        <w:rPr>
          <w:rFonts w:ascii="Times New Roman" w:eastAsia="Times New Roman" w:hAnsi="Times New Roman" w:cs="Times New Roman"/>
          <w:b/>
          <w:sz w:val="28"/>
          <w:szCs w:val="28"/>
        </w:rPr>
        <w:t>DELIVER TO:</w:t>
      </w:r>
      <w:r>
        <w:rPr>
          <w:rFonts w:ascii="Times New Roman" w:eastAsia="Times New Roman" w:hAnsi="Times New Roman" w:cs="Times New Roman"/>
          <w:sz w:val="28"/>
          <w:szCs w:val="28"/>
        </w:rPr>
        <w:t xml:space="preserve">  Send all documents electronically to </w:t>
      </w:r>
      <w:r w:rsidRPr="00D25D8C">
        <w:rPr>
          <w:rFonts w:ascii="Times New Roman" w:eastAsia="Times New Roman" w:hAnsi="Times New Roman" w:cs="Times New Roman"/>
          <w:b/>
          <w:bCs/>
          <w:sz w:val="28"/>
          <w:szCs w:val="28"/>
        </w:rPr>
        <w:t>wartribunal2023@gmail.com</w:t>
      </w:r>
    </w:p>
    <w:p w14:paraId="019FBDEB" w14:textId="77777777" w:rsidR="00F22303" w:rsidRDefault="00F22303">
      <w:pPr>
        <w:ind w:firstLine="360"/>
        <w:rPr>
          <w:rFonts w:ascii="Times New Roman" w:eastAsia="Times New Roman" w:hAnsi="Times New Roman" w:cs="Times New Roman"/>
          <w:sz w:val="28"/>
          <w:szCs w:val="28"/>
        </w:rPr>
      </w:pPr>
    </w:p>
    <w:p w14:paraId="6254926D" w14:textId="77777777" w:rsidR="00487EAA" w:rsidRDefault="00487EAA">
      <w:pPr>
        <w:ind w:firstLine="360"/>
        <w:rPr>
          <w:rFonts w:ascii="Times New Roman" w:eastAsia="Times New Roman" w:hAnsi="Times New Roman" w:cs="Times New Roman"/>
          <w:sz w:val="28"/>
          <w:szCs w:val="28"/>
        </w:rPr>
      </w:pPr>
    </w:p>
    <w:p w14:paraId="6845842F" w14:textId="77777777" w:rsidR="00F22303" w:rsidRDefault="00F22303">
      <w:pPr>
        <w:ind w:firstLine="360"/>
        <w:rPr>
          <w:rFonts w:ascii="Times New Roman" w:eastAsia="Times New Roman" w:hAnsi="Times New Roman" w:cs="Times New Roman"/>
          <w:sz w:val="28"/>
          <w:szCs w:val="28"/>
        </w:rPr>
      </w:pPr>
    </w:p>
    <w:p w14:paraId="7A3C277B" w14:textId="77777777" w:rsidR="00556AB9" w:rsidRDefault="00556AB9">
      <w:pPr>
        <w:ind w:firstLine="360"/>
        <w:rPr>
          <w:rFonts w:ascii="Times New Roman" w:eastAsia="Times New Roman" w:hAnsi="Times New Roman" w:cs="Times New Roman"/>
          <w:sz w:val="28"/>
          <w:szCs w:val="28"/>
        </w:rPr>
      </w:pPr>
    </w:p>
    <w:p w14:paraId="4DECF889" w14:textId="77777777" w:rsidR="00F22303" w:rsidRDefault="00E81C5A">
      <w:pPr>
        <w:ind w:firstLine="3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Witnessed and Signed by the Following Tribunal Members:</w:t>
      </w:r>
    </w:p>
    <w:p w14:paraId="17076F92" w14:textId="76390E1E" w:rsidR="00F22303" w:rsidRDefault="00E81C5A" w:rsidP="00CE57A9">
      <w:pPr>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Brad Wolf</w:t>
      </w:r>
    </w:p>
    <w:p w14:paraId="134FF8AD" w14:textId="341D2E9D" w:rsidR="00F22303" w:rsidRDefault="00E81C5A" w:rsidP="00CE57A9">
      <w:pPr>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Kathy Kelly</w:t>
      </w:r>
    </w:p>
    <w:p w14:paraId="7E03C702" w14:textId="60DFC8CB" w:rsidR="00F22303" w:rsidRDefault="00E81C5A" w:rsidP="00CE57A9">
      <w:pPr>
        <w:pBdr>
          <w:right w:val="single" w:sz="4" w:space="4" w:color="000000"/>
        </w:pBdr>
        <w:ind w:firstLine="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Nick </w:t>
      </w:r>
      <w:proofErr w:type="spellStart"/>
      <w:r>
        <w:rPr>
          <w:rFonts w:ascii="Times New Roman" w:eastAsia="Times New Roman" w:hAnsi="Times New Roman" w:cs="Times New Roman"/>
          <w:sz w:val="28"/>
          <w:szCs w:val="28"/>
        </w:rPr>
        <w:t>Mottern</w:t>
      </w:r>
      <w:proofErr w:type="spellEnd"/>
    </w:p>
    <w:p w14:paraId="71F68079" w14:textId="77777777" w:rsidR="00F22303" w:rsidRDefault="00F22303">
      <w:pPr>
        <w:pBdr>
          <w:right w:val="single" w:sz="4" w:space="4" w:color="000000"/>
        </w:pBdr>
        <w:ind w:firstLine="360"/>
        <w:jc w:val="right"/>
        <w:rPr>
          <w:rFonts w:ascii="Times New Roman" w:eastAsia="Times New Roman" w:hAnsi="Times New Roman" w:cs="Times New Roman"/>
          <w:sz w:val="28"/>
          <w:szCs w:val="28"/>
        </w:rPr>
      </w:pPr>
    </w:p>
    <w:p w14:paraId="18AB9FC4" w14:textId="77777777" w:rsidR="00F22303" w:rsidRDefault="00F22303">
      <w:pPr>
        <w:pBdr>
          <w:right w:val="single" w:sz="4" w:space="4" w:color="000000"/>
        </w:pBdr>
        <w:ind w:firstLine="360"/>
        <w:jc w:val="right"/>
        <w:rPr>
          <w:rFonts w:ascii="Times New Roman" w:eastAsia="Times New Roman" w:hAnsi="Times New Roman" w:cs="Times New Roman"/>
          <w:sz w:val="28"/>
          <w:szCs w:val="28"/>
        </w:rPr>
      </w:pPr>
    </w:p>
    <w:p w14:paraId="5A108B32" w14:textId="77777777" w:rsidR="00F22303" w:rsidRDefault="00F22303">
      <w:pPr>
        <w:shd w:val="clear" w:color="auto" w:fill="000000"/>
        <w:rPr>
          <w:rFonts w:ascii="Times New Roman" w:eastAsia="Times New Roman" w:hAnsi="Times New Roman" w:cs="Times New Roman"/>
          <w:sz w:val="28"/>
          <w:szCs w:val="28"/>
        </w:rPr>
      </w:pPr>
    </w:p>
    <w:sectPr w:rsidR="00F22303">
      <w:footerReference w:type="even" r:id="rId8"/>
      <w:footerReference w:type="default" r:id="rId9"/>
      <w:pgSz w:w="12240" w:h="15840"/>
      <w:pgMar w:top="119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4A24" w14:textId="77777777" w:rsidR="00A377B3" w:rsidRDefault="00A377B3">
      <w:pPr>
        <w:spacing w:after="0" w:line="240" w:lineRule="auto"/>
      </w:pPr>
      <w:r>
        <w:separator/>
      </w:r>
    </w:p>
  </w:endnote>
  <w:endnote w:type="continuationSeparator" w:id="0">
    <w:p w14:paraId="2C7D34E3" w14:textId="77777777" w:rsidR="00A377B3" w:rsidRDefault="00A3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6C78" w14:textId="77777777" w:rsidR="00F22303" w:rsidRDefault="00E81C5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33B53028" w14:textId="77777777" w:rsidR="00F22303" w:rsidRDefault="00E81C5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49052C0C" w14:textId="77777777" w:rsidR="00F22303" w:rsidRDefault="00F2230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27CC" w14:textId="77777777" w:rsidR="00F22303" w:rsidRDefault="00E81C5A">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205916">
      <w:rPr>
        <w:noProof/>
        <w:color w:val="000000"/>
        <w:sz w:val="24"/>
        <w:szCs w:val="24"/>
      </w:rPr>
      <w:t>1</w:t>
    </w:r>
    <w:r>
      <w:rPr>
        <w:color w:val="000000"/>
        <w:sz w:val="24"/>
        <w:szCs w:val="24"/>
      </w:rPr>
      <w:fldChar w:fldCharType="end"/>
    </w:r>
  </w:p>
  <w:p w14:paraId="1F7070D0" w14:textId="77777777" w:rsidR="00F22303" w:rsidRDefault="00E81C5A">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F145" w14:textId="77777777" w:rsidR="00A377B3" w:rsidRDefault="00A377B3">
      <w:pPr>
        <w:spacing w:after="0" w:line="240" w:lineRule="auto"/>
      </w:pPr>
      <w:r>
        <w:separator/>
      </w:r>
    </w:p>
  </w:footnote>
  <w:footnote w:type="continuationSeparator" w:id="0">
    <w:p w14:paraId="4AFC7828" w14:textId="77777777" w:rsidR="00A377B3" w:rsidRDefault="00A37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8064F"/>
    <w:multiLevelType w:val="multilevel"/>
    <w:tmpl w:val="445E5CF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173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03"/>
    <w:rsid w:val="00166A84"/>
    <w:rsid w:val="00205916"/>
    <w:rsid w:val="002A5944"/>
    <w:rsid w:val="002F4897"/>
    <w:rsid w:val="00384A95"/>
    <w:rsid w:val="00486375"/>
    <w:rsid w:val="00487EAA"/>
    <w:rsid w:val="00522657"/>
    <w:rsid w:val="00534B20"/>
    <w:rsid w:val="00550370"/>
    <w:rsid w:val="00556AB9"/>
    <w:rsid w:val="00601BCC"/>
    <w:rsid w:val="00607DCE"/>
    <w:rsid w:val="0061280B"/>
    <w:rsid w:val="0063022F"/>
    <w:rsid w:val="006C23A1"/>
    <w:rsid w:val="006D5A8D"/>
    <w:rsid w:val="007B62FC"/>
    <w:rsid w:val="008A7191"/>
    <w:rsid w:val="008F0C46"/>
    <w:rsid w:val="00913CF4"/>
    <w:rsid w:val="00963433"/>
    <w:rsid w:val="009A221E"/>
    <w:rsid w:val="00A377B3"/>
    <w:rsid w:val="00AD5842"/>
    <w:rsid w:val="00B36827"/>
    <w:rsid w:val="00CE57A9"/>
    <w:rsid w:val="00D03729"/>
    <w:rsid w:val="00D25D8C"/>
    <w:rsid w:val="00D4016B"/>
    <w:rsid w:val="00D816DE"/>
    <w:rsid w:val="00DF2187"/>
    <w:rsid w:val="00E81C5A"/>
    <w:rsid w:val="00F22303"/>
    <w:rsid w:val="00F22D48"/>
    <w:rsid w:val="00F7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BAF1"/>
  <w15:docId w15:val="{25A0C06D-52FE-4759-B8D6-215B7289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80F67"/>
    <w:pPr>
      <w:spacing w:after="0" w:line="240" w:lineRule="auto"/>
    </w:pPr>
  </w:style>
  <w:style w:type="paragraph" w:styleId="ListParagraph">
    <w:name w:val="List Paragraph"/>
    <w:basedOn w:val="Normal"/>
    <w:uiPriority w:val="34"/>
    <w:qFormat/>
    <w:rsid w:val="006941C2"/>
    <w:pPr>
      <w:ind w:left="720"/>
      <w:contextualSpacing/>
    </w:pPr>
  </w:style>
  <w:style w:type="paragraph" w:styleId="Header">
    <w:name w:val="header"/>
    <w:basedOn w:val="Normal"/>
    <w:link w:val="HeaderChar"/>
    <w:uiPriority w:val="99"/>
    <w:unhideWhenUsed/>
    <w:rsid w:val="00927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4D7"/>
  </w:style>
  <w:style w:type="paragraph" w:styleId="Footer">
    <w:name w:val="footer"/>
    <w:basedOn w:val="Normal"/>
    <w:link w:val="FooterChar"/>
    <w:uiPriority w:val="99"/>
    <w:unhideWhenUsed/>
    <w:rsid w:val="00927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4D7"/>
  </w:style>
  <w:style w:type="character" w:styleId="PageNumber">
    <w:name w:val="page number"/>
    <w:basedOn w:val="DefaultParagraphFont"/>
    <w:uiPriority w:val="99"/>
    <w:semiHidden/>
    <w:unhideWhenUsed/>
    <w:rsid w:val="009274D7"/>
  </w:style>
  <w:style w:type="character" w:styleId="LineNumber">
    <w:name w:val="line number"/>
    <w:basedOn w:val="DefaultParagraphFont"/>
    <w:uiPriority w:val="99"/>
    <w:semiHidden/>
    <w:unhideWhenUsed/>
    <w:rsid w:val="00927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LULNZ98tBYiPb7O7jUBBLodymQ==">AMUW2mXwLtadZ9SpgThivFbCItkgTkfj6McR8mcTbR+FMsP75EQGkkgmkqqOQD01uD4uZCQPRHrmD5UztoJrWWEYZBot8RfmZJ4H2kBmmKeVDMKpf0ATdYxiHzm2Dl3bOGKzV4bBPm7KbTl+6in/IbqvLRK/JEbOGvZSZVQ8yBH+cKDB3+avoj8=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Quigley</dc:creator>
  <cp:lastModifiedBy>brad wolf</cp:lastModifiedBy>
  <cp:revision>4</cp:revision>
  <dcterms:created xsi:type="dcterms:W3CDTF">2022-11-13T14:05:00Z</dcterms:created>
  <dcterms:modified xsi:type="dcterms:W3CDTF">2023-01-08T17:57:00Z</dcterms:modified>
</cp:coreProperties>
</file>