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 xml:space="preserve">FOR IMMEDIATE RELEASE </w:t>
      </w:r>
      <w:r>
        <w:rPr>
          <w:rFonts w:ascii="Times Roman" w:hAnsi="Times Roman" w:hint="default"/>
          <w:b w:val="1"/>
          <w:bCs w:val="1"/>
          <w:rtl w:val="0"/>
        </w:rPr>
        <w:t xml:space="preserve">– </w:t>
      </w:r>
      <w:r>
        <w:rPr>
          <w:rFonts w:ascii="Times Roman" w:hAnsi="Times Roman"/>
          <w:b w:val="1"/>
          <w:bCs w:val="1"/>
          <w:rtl w:val="0"/>
          <w:lang w:val="en-US"/>
        </w:rPr>
        <w:t>[DATE]</w:t>
      </w:r>
      <w:r>
        <w:rPr>
          <w:rFonts w:ascii="Times Roman" w:hAnsi="Times Roman"/>
          <w:b w:val="1"/>
          <w:bCs w:val="1"/>
          <w:rtl w:val="0"/>
        </w:rPr>
        <w:t>, 2025</w:t>
      </w:r>
      <w:r>
        <w:rPr>
          <w:rFonts w:ascii="Times Roman" w:cs="Times Roman" w:hAnsi="Times Roman" w:eastAsia="Times Roman"/>
          <w:b w:val="0"/>
          <w:bCs w:val="0"/>
          <w:rtl w:val="0"/>
        </w:rPr>
        <w:br w:type="textWrapping"/>
        <w:br w:type="textWrapping"/>
      </w:r>
      <w:r>
        <w:rPr>
          <w:rFonts w:ascii="Times Roman" w:hAnsi="Times Roman"/>
          <w:b w:val="1"/>
          <w:bCs w:val="1"/>
          <w:rtl w:val="0"/>
          <w:lang w:val="en-US"/>
        </w:rPr>
        <w:t>Media Contacts: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Brad Wolf,</w:t>
      </w:r>
      <w:r>
        <w:rPr>
          <w:rFonts w:ascii="Times Roman" w:hAnsi="Times Roman"/>
          <w:rtl w:val="0"/>
          <w:lang w:val="en-US"/>
        </w:rPr>
        <w:t xml:space="preserve"> Merchants of Death War Crimes Tribunal Organizer,</w:t>
      </w:r>
      <w:r>
        <w:rPr>
          <w:rFonts w:ascii="Times Roman" w:hAnsi="Times Roman"/>
          <w:rtl w:val="0"/>
        </w:rPr>
        <w:t xml:space="preserve">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"mailto:tribunal23@merchantsofdeath.org"</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tribunal23@merchantsofdeath.org</w:t>
      </w:r>
      <w:r>
        <w:rPr>
          <w:rFonts w:ascii="Times Roman" w:cs="Times Roman" w:hAnsi="Times Roman" w:eastAsia="Times Roman"/>
          <w:rtl w:val="0"/>
        </w:rPr>
        <w:fldChar w:fldCharType="end" w:fldLock="0"/>
      </w:r>
      <w:r>
        <w:rPr>
          <w:rFonts w:ascii="Times Roman" w:hAnsi="Times Roman"/>
          <w:rtl w:val="0"/>
          <w:lang w:val="en-US"/>
        </w:rPr>
        <w:t xml:space="preserve"> </w:t>
      </w:r>
    </w:p>
    <w:p>
      <w:pPr>
        <w:pStyle w:val="Default"/>
        <w:bidi w:val="0"/>
        <w:spacing w:before="0" w:after="299" w:line="240" w:lineRule="auto"/>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MERCHANTS OF DEATH TRIBUNAL CALLS FOR INTERNATIONAL WAR CRIMES PROSECUTION OF LEADING U.S. WEAPONS INDUSTRY CEOs</w:t>
      </w:r>
    </w:p>
    <w:p>
      <w:pPr>
        <w:pStyle w:val="Default"/>
        <w:bidi w:val="0"/>
        <w:spacing w:before="0" w:after="240" w:line="240" w:lineRule="auto"/>
        <w:ind w:left="0" w:right="0" w:firstLine="0"/>
        <w:jc w:val="left"/>
        <w:rPr>
          <w:rtl w:val="0"/>
        </w:rPr>
      </w:pPr>
      <w:r>
        <w:rPr>
          <w:rFonts w:ascii="Times Roman" w:hAnsi="Times Roman"/>
          <w:rtl w:val="0"/>
          <w:lang w:val="en-US"/>
        </w:rPr>
        <w:t>The</w:t>
      </w:r>
      <w:r>
        <w:rPr>
          <w:rFonts w:ascii="Times Roman" w:hAnsi="Times Roman"/>
          <w:outline w:val="0"/>
          <w:color w:val="0075b9"/>
          <w:rtl w:val="0"/>
          <w14:textFill>
            <w14:solidFill>
              <w14:srgbClr w14:val="0076BA"/>
            </w14:solidFill>
          </w14:textFill>
        </w:rPr>
        <w:t xml:space="preserve"> </w:t>
      </w:r>
      <w:r>
        <w:rPr>
          <w:rStyle w:val="Hyperlink.1"/>
          <w:rFonts w:ascii="Times Roman" w:cs="Times Roman" w:hAnsi="Times Roman" w:eastAsia="Times Roman"/>
          <w:rtl w:val="0"/>
        </w:rPr>
        <w:fldChar w:fldCharType="begin" w:fldLock="0"/>
      </w:r>
      <w:r>
        <w:rPr>
          <w:rStyle w:val="Hyperlink.1"/>
          <w:rFonts w:ascii="Times Roman" w:cs="Times Roman" w:hAnsi="Times Roman" w:eastAsia="Times Roman"/>
          <w:rtl w:val="0"/>
        </w:rPr>
        <w:instrText xml:space="preserve"> HYPERLINK "https://merchantsofdeath.org/"</w:instrText>
      </w:r>
      <w:r>
        <w:rPr>
          <w:rStyle w:val="Hyperlink.1"/>
          <w:rFonts w:ascii="Times Roman" w:cs="Times Roman" w:hAnsi="Times Roman" w:eastAsia="Times Roman"/>
          <w:rtl w:val="0"/>
        </w:rPr>
        <w:fldChar w:fldCharType="separate" w:fldLock="0"/>
      </w:r>
      <w:r>
        <w:rPr>
          <w:rStyle w:val="Hyperlink.1"/>
          <w:rFonts w:ascii="Times Roman" w:hAnsi="Times Roman"/>
          <w:rtl w:val="0"/>
          <w:lang w:val="en-US"/>
        </w:rPr>
        <w:t>Merchants of Death War Crimes Tribunal</w:t>
      </w:r>
      <w:r>
        <w:rPr>
          <w:rFonts w:ascii="Times Roman" w:cs="Times Roman" w:hAnsi="Times Roman" w:eastAsia="Times Roman"/>
          <w:rtl w:val="0"/>
        </w:rPr>
        <w:fldChar w:fldCharType="end" w:fldLock="0"/>
      </w:r>
      <w:r>
        <w:rPr>
          <w:rFonts w:ascii="Times Roman" w:hAnsi="Times Roman"/>
          <w:rtl w:val="0"/>
          <w:lang w:val="en-US"/>
        </w:rPr>
        <w:t xml:space="preserve"> issue</w:t>
      </w:r>
      <w:r>
        <w:rPr>
          <w:rFonts w:ascii="Times Roman" w:hAnsi="Times Roman"/>
          <w:rtl w:val="0"/>
          <w:lang w:val="en-US"/>
        </w:rPr>
        <w:t>d</w:t>
      </w:r>
      <w:r>
        <w:rPr>
          <w:rFonts w:ascii="Times Roman" w:hAnsi="Times Roman"/>
          <w:rtl w:val="0"/>
          <w:lang w:val="en-US"/>
        </w:rPr>
        <w:t xml:space="preserve"> its</w:t>
      </w:r>
      <w:r>
        <w:rPr>
          <w:rStyle w:val="None"/>
          <w:rFonts w:ascii="Times Roman" w:hAnsi="Times Roman"/>
          <w:outline w:val="0"/>
          <w:color w:val="0075b9"/>
          <w:rtl w:val="0"/>
          <w14:textFill>
            <w14:solidFill>
              <w14:srgbClr w14:val="0076BA"/>
            </w14:solidFill>
          </w14:textFill>
        </w:rPr>
        <w:t xml:space="preserve">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"https://merchantsofdeath.org/wp-content/uploads/2025/01/Final-Report-Merchants-Of-Death-War-Crimes-Tribunal-01092025.pdf"</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final report</w:t>
      </w:r>
      <w:r>
        <w:rPr>
          <w:rFonts w:ascii="Times Roman" w:cs="Times Roman" w:hAnsi="Times Roman" w:eastAsia="Times Roman"/>
          <w:rtl w:val="0"/>
        </w:rPr>
        <w:fldChar w:fldCharType="end" w:fldLock="0"/>
      </w:r>
      <w:r>
        <w:rPr>
          <w:rFonts w:ascii="Times Roman" w:hAnsi="Times Roman"/>
          <w:rtl w:val="0"/>
          <w:lang w:val="en-US"/>
        </w:rPr>
        <w:t xml:space="preserve"> at a January 15, 2025</w:t>
      </w:r>
      <w:r>
        <w:rPr>
          <w:rStyle w:val="None"/>
          <w:rFonts w:ascii="Times Roman" w:hAnsi="Times Roman"/>
          <w:outline w:val="0"/>
          <w:color w:val="0075b9"/>
          <w:rtl w:val="0"/>
          <w14:textFill>
            <w14:solidFill>
              <w14:srgbClr w14:val="0076BA"/>
            </w14:solidFill>
          </w14:textFill>
        </w:rPr>
        <w:t xml:space="preserve"> </w:t>
      </w:r>
      <w:r>
        <w:rPr>
          <w:rStyle w:val="Hyperlink.1"/>
          <w:rFonts w:ascii="Times Roman" w:cs="Times Roman" w:hAnsi="Times Roman" w:eastAsia="Times Roman"/>
          <w:rtl w:val="0"/>
        </w:rPr>
        <w:fldChar w:fldCharType="begin" w:fldLock="0"/>
      </w:r>
      <w:r>
        <w:rPr>
          <w:rStyle w:val="Hyperlink.1"/>
          <w:rFonts w:ascii="Times Roman" w:cs="Times Roman" w:hAnsi="Times Roman" w:eastAsia="Times Roman"/>
          <w:rtl w:val="0"/>
        </w:rPr>
        <w:instrText xml:space="preserve"> HYPERLINK "https://rumble.com/v69p2op-final-press-conference-of-the-tribunal-with-verdicts.html"</w:instrText>
      </w:r>
      <w:r>
        <w:rPr>
          <w:rStyle w:val="Hyperlink.1"/>
          <w:rFonts w:ascii="Times Roman" w:cs="Times Roman" w:hAnsi="Times Roman" w:eastAsia="Times Roman"/>
          <w:rtl w:val="0"/>
        </w:rPr>
        <w:fldChar w:fldCharType="separate" w:fldLock="0"/>
      </w:r>
      <w:r>
        <w:rPr>
          <w:rStyle w:val="Hyperlink.1"/>
          <w:rFonts w:ascii="Times Roman" w:hAnsi="Times Roman"/>
          <w:rtl w:val="0"/>
          <w:lang w:val="en-US"/>
        </w:rPr>
        <w:t>Zoom press conference</w:t>
      </w:r>
      <w:r>
        <w:rPr>
          <w:rFonts w:ascii="Times Roman" w:cs="Times Roman" w:hAnsi="Times Roman" w:eastAsia="Times Roman"/>
          <w:rtl w:val="0"/>
        </w:rPr>
        <w:fldChar w:fldCharType="end" w:fldLock="0"/>
      </w:r>
      <w:r>
        <w:rPr>
          <w:rFonts w:ascii="Times Roman" w:hAnsi="Times Roman"/>
          <w:rtl w:val="0"/>
          <w:lang w:val="en-US"/>
        </w:rPr>
        <w:t>, with the staff offering to help prosecutors around the world to convict the CEOs of Lockheed Martin, Boeing, RTX/Raytheon, and drone maker General Atomics for aiding the U.S. government in committing war crimes and genocide since 9/11.</w:t>
      </w:r>
      <w:r>
        <w:rPr>
          <w:rFonts w:ascii="Times Roman" w:cs="Times Roman" w:hAnsi="Times Roman" w:eastAsia="Times Roman"/>
          <w:rtl w:val="1"/>
          <w:lang w:val="ar-SA" w:bidi="ar-SA"/>
        </w:rPr>
        <w:br w:type="textWrapping"/>
        <w:br w:type="textWrapping"/>
        <w:t>“</w:t>
      </w:r>
      <w:r>
        <w:rPr>
          <w:rFonts w:ascii="Times Roman" w:hAnsi="Times Roman"/>
          <w:rtl w:val="0"/>
          <w:lang w:val="en-US"/>
        </w:rPr>
        <w:t>We are making this offer,</w:t>
      </w:r>
      <w:r>
        <w:rPr>
          <w:rFonts w:ascii="Times Roman" w:hAnsi="Times Roman" w:hint="default"/>
          <w:rtl w:val="0"/>
        </w:rPr>
        <w:t xml:space="preserve">” </w:t>
      </w:r>
      <w:r>
        <w:rPr>
          <w:rFonts w:ascii="Times Roman" w:hAnsi="Times Roman"/>
          <w:rtl w:val="0"/>
          <w:lang w:val="en-US"/>
        </w:rPr>
        <w:t xml:space="preserve">said Brad Wolf, a former prosecutor and Tribunal staff member, </w:t>
      </w:r>
      <w:r>
        <w:rPr>
          <w:rFonts w:ascii="Times Roman" w:hAnsi="Times Roman" w:hint="default"/>
          <w:rtl w:val="1"/>
          <w:lang w:val="ar-SA" w:bidi="ar-SA"/>
        </w:rPr>
        <w:t>“</w:t>
      </w:r>
      <w:r>
        <w:rPr>
          <w:rFonts w:ascii="Times Roman" w:hAnsi="Times Roman"/>
          <w:rtl w:val="0"/>
          <w:lang w:val="en-US"/>
        </w:rPr>
        <w:t>because these individuals who have enabled the U.S. government in the commission of horrific crimes, for immense profit, are not likely to be prosecuted by the U.S. government.</w:t>
      </w:r>
      <w:r>
        <w:rPr>
          <w:rFonts w:ascii="Times Roman" w:hAnsi="Times Roman" w:hint="default"/>
          <w:rtl w:val="0"/>
        </w:rPr>
        <w:t>”</w:t>
        <w:br w:type="textWrapping"/>
        <w:br w:type="textWrapping"/>
      </w:r>
      <w:r>
        <w:rPr>
          <w:rFonts w:ascii="Times Roman" w:hAnsi="Times Roman"/>
          <w:rtl w:val="0"/>
          <w:lang w:val="en-US"/>
        </w:rPr>
        <w:t>The Tribunal offer to aid prosecutors internationally is based on the finding of guilt of the CEOs by an international 10-person jury that viewed thirty-five video evidentiary episodes and other documentation prepared by the Tribunal staff over a nearly three-year period. The Tribunal jury finding, which applies to CEOs of the defendant corporations dating back to the bombing, invasion, and occupation of Afghanistan in October 2001, says:</w:t>
      </w:r>
      <w:r>
        <w:rPr>
          <w:rFonts w:ascii="Times Roman" w:cs="Times Roman" w:hAnsi="Times Roman" w:eastAsia="Times Roman"/>
          <w:rtl w:val="1"/>
          <w:lang w:val="ar-SA" w:bidi="ar-SA"/>
        </w:rPr>
        <w:br w:type="textWrapping"/>
        <w:br w:type="textWrapping"/>
        <w:t>“</w:t>
      </w:r>
      <w:r>
        <w:rPr>
          <w:rFonts w:ascii="Times Roman" w:hAnsi="Times Roman"/>
          <w:rtl w:val="0"/>
          <w:lang w:val="en-US"/>
        </w:rPr>
        <w:t>The jurors of this Tribunal conclude that the aforementioned current and former executives of the four defendants aided and abetted war crimes, genocide, and crimes against humanity, as well as other IHL (International Human Rights Law) principles, with large scale sales of their weapons, generating enormous profits for their companies.</w:t>
      </w:r>
      <w:r>
        <w:rPr>
          <w:rFonts w:ascii="Times Roman" w:hAnsi="Times Roman" w:hint="default"/>
          <w:rtl w:val="0"/>
        </w:rPr>
        <w:t>”</w:t>
        <w:br w:type="textWrapping"/>
        <w:br w:type="textWrapping"/>
      </w:r>
      <w:r>
        <w:rPr>
          <w:rFonts w:ascii="Times Roman" w:hAnsi="Times Roman"/>
          <w:rtl w:val="0"/>
          <w:lang w:val="en-US"/>
        </w:rPr>
        <w:t>The recommended prosecutions would be based on the principle of universal jurisdiction, which was used to arrest and jail former Chilean dictator Augusto Pinochet in 1998. This principle allows national governments to prosecute individuals for serious crimes against international law, regardless of where the crimes are committed.</w:t>
      </w:r>
      <w:r>
        <w:rPr>
          <w:rFonts w:ascii="Times Roman" w:cs="Times Roman" w:hAnsi="Times Roman" w:eastAsia="Times Roman"/>
          <w:rtl w:val="0"/>
        </w:rPr>
        <w:br w:type="textWrapping"/>
        <w:br w:type="textWrapping"/>
      </w:r>
      <w:r>
        <w:rPr>
          <w:rFonts w:ascii="Times Roman" w:hAnsi="Times Roman"/>
          <w:rtl w:val="0"/>
          <w:lang w:val="en-US"/>
        </w:rPr>
        <w:t>The Tribunal report makes twelve additional recommendations, including steps to: eliminate the profit motive from weapons production; provide funding for reparations for individuals and communities harmed by the U.S. since 9/11; prohibit war funding through borrowing; and taxing international U.S. corporations for overseas U.S. military operations.</w:t>
      </w:r>
      <w:r>
        <w:rPr>
          <w:rFonts w:ascii="Times Roman" w:cs="Times Roman" w:hAnsi="Times Roman" w:eastAsia="Times Roman"/>
          <w:rtl w:val="0"/>
        </w:rPr>
        <w:br w:type="textWrapping"/>
        <w:br w:type="textWrapping"/>
      </w:r>
      <w:r>
        <w:rPr>
          <w:rFonts w:ascii="Times Roman" w:hAnsi="Times Roman"/>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75b9"/>
      <w14:textFill>
        <w14:solidFill>
          <w14:srgbClr w14:val="0076BA"/>
        </w14:solidFill>
      </w14:textFill>
    </w:rPr>
  </w:style>
  <w:style w:type="character" w:styleId="None">
    <w:name w:val="None"/>
  </w:style>
  <w:style w:type="character" w:styleId="Hyperlink.1">
    <w:name w:val="Hyperlink.1"/>
    <w:basedOn w:val="None"/>
    <w:next w:val="Hyperlink.1"/>
    <w:rPr>
      <w:outline w:val="0"/>
      <w:color w:val="0075b9"/>
      <w:u w:val="single"/>
      <w14:textFill>
        <w14:solidFill>
          <w14:srgbClr w14:val="0076B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